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pStyle w:val="Heading5"/>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jc w:val="center"/>
        <w:rPr>
          <w:rFonts w:ascii="Times New Roman" w:cs="Times New Roman" w:eastAsia="Times New Roman" w:hAnsi="Times New Roman"/>
          <w:b w:val="1"/>
          <w:color w:val="212121"/>
          <w:sz w:val="28"/>
          <w:szCs w:val="28"/>
        </w:rPr>
      </w:pPr>
      <w:bookmarkStart w:colFirst="0" w:colLast="0" w:name="_u1dcg0liyzkn" w:id="0"/>
      <w:bookmarkEnd w:id="0"/>
      <w:r w:rsidDel="00000000" w:rsidR="00000000" w:rsidRPr="00000000">
        <w:rPr>
          <w:rtl w:val="0"/>
        </w:rPr>
      </w:r>
    </w:p>
    <w:p w:rsidR="00000000" w:rsidDel="00000000" w:rsidP="00000000" w:rsidRDefault="00000000" w:rsidRPr="00000000" w14:paraId="0000000E">
      <w:pPr>
        <w:pStyle w:val="Heading5"/>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jc w:val="center"/>
        <w:rPr>
          <w:rFonts w:ascii="Times New Roman" w:cs="Times New Roman" w:eastAsia="Times New Roman" w:hAnsi="Times New Roman"/>
          <w:b w:val="1"/>
          <w:color w:val="212121"/>
          <w:sz w:val="28"/>
          <w:szCs w:val="28"/>
        </w:rPr>
      </w:pPr>
      <w:bookmarkStart w:colFirst="0" w:colLast="0" w:name="_za08pthmbbcq" w:id="1"/>
      <w:bookmarkEnd w:id="1"/>
      <w:r w:rsidDel="00000000" w:rsidR="00000000" w:rsidRPr="00000000">
        <w:rPr>
          <w:rFonts w:ascii="Times New Roman" w:cs="Times New Roman" w:eastAsia="Times New Roman" w:hAnsi="Times New Roman"/>
          <w:b w:val="1"/>
          <w:color w:val="212121"/>
          <w:sz w:val="28"/>
          <w:szCs w:val="28"/>
          <w:rtl w:val="0"/>
        </w:rPr>
        <w:t xml:space="preserve">Teacher Coaching and Development Process</w:t>
      </w:r>
    </w:p>
    <w:p w:rsidR="00000000" w:rsidDel="00000000" w:rsidP="00000000" w:rsidRDefault="00000000" w:rsidRPr="00000000" w14:paraId="0000000F">
      <w:pPr>
        <w:spacing w:after="240" w:before="240" w:lineRule="auto"/>
        <w:jc w:val="left"/>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0">
      <w:pPr>
        <w:spacing w:after="240" w:before="240" w:line="48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Marybelle Aguilar</w:t>
      </w:r>
    </w:p>
    <w:p w:rsidR="00000000" w:rsidDel="00000000" w:rsidP="00000000" w:rsidRDefault="00000000" w:rsidRPr="00000000" w14:paraId="00000011">
      <w:pPr>
        <w:spacing w:after="240" w:before="240" w:line="48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College Name, Grand Canyon University</w:t>
      </w:r>
    </w:p>
    <w:p w:rsidR="00000000" w:rsidDel="00000000" w:rsidP="00000000" w:rsidRDefault="00000000" w:rsidRPr="00000000" w14:paraId="00000012">
      <w:pPr>
        <w:spacing w:after="240" w:before="240" w:line="48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EAD 530: Improving Teacher Performance and Self-efficacy </w:t>
      </w:r>
    </w:p>
    <w:p w:rsidR="00000000" w:rsidDel="00000000" w:rsidP="00000000" w:rsidRDefault="00000000" w:rsidRPr="00000000" w14:paraId="00000013">
      <w:pPr>
        <w:spacing w:after="240" w:before="240" w:line="48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Dr. J. </w:t>
      </w:r>
    </w:p>
    <w:p w:rsidR="00000000" w:rsidDel="00000000" w:rsidP="00000000" w:rsidRDefault="00000000" w:rsidRPr="00000000" w14:paraId="00000014">
      <w:pPr>
        <w:spacing w:after="240" w:before="240" w:line="48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June 5th, 2024</w:t>
      </w:r>
    </w:p>
    <w:p w:rsidR="00000000" w:rsidDel="00000000" w:rsidP="00000000" w:rsidRDefault="00000000" w:rsidRPr="00000000" w14:paraId="00000015">
      <w:pPr>
        <w:spacing w:after="240" w:before="240"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spacing w:after="240" w:before="240"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spacing w:after="240" w:before="240"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pStyle w:val="Heading5"/>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rPr>
          <w:rFonts w:ascii="Times New Roman" w:cs="Times New Roman" w:eastAsia="Times New Roman" w:hAnsi="Times New Roman"/>
          <w:b w:val="1"/>
          <w:color w:val="212121"/>
          <w:sz w:val="28"/>
          <w:szCs w:val="28"/>
        </w:rPr>
      </w:pPr>
      <w:bookmarkStart w:colFirst="0" w:colLast="0" w:name="_442rr24gnn94" w:id="2"/>
      <w:bookmarkEnd w:id="2"/>
      <w:r w:rsidDel="00000000" w:rsidR="00000000" w:rsidRPr="00000000">
        <w:rPr>
          <w:rtl w:val="0"/>
        </w:rPr>
      </w:r>
    </w:p>
    <w:p w:rsidR="00000000" w:rsidDel="00000000" w:rsidP="00000000" w:rsidRDefault="00000000" w:rsidRPr="00000000" w14:paraId="00000019">
      <w:pPr>
        <w:spacing w:line="48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A">
      <w:pPr>
        <w:spacing w:line="48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Observation Pre-Conference</w:t>
      </w:r>
    </w:p>
    <w:p w:rsidR="00000000" w:rsidDel="00000000" w:rsidP="00000000" w:rsidRDefault="00000000" w:rsidRPr="00000000" w14:paraId="0000001B">
      <w:pPr>
        <w:spacing w:line="480"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Normally, when I schedule my pre-conference observation I get an email with the pre-conference observation form and I fill it out and return it all via email. In the video the principal is asking the treacher all the questions and she is taking notes. I would prefer to do it this way because it seems to be more personable and  if the teacher has any questions they can ask at the time. Some questions asked were what are the objectives that you are going to teach and what are your expectations going to be? These questions are important ones for an administrator or coach to get an idea of the big picture. This question was always one that I never really knew how to answer or what to say which was “Is there anything in particular that you want me to look for?” Until I realized that this was my opportunity to ask them to look for something that I could do better. Some of the teachers' responses can indicate </w:t>
      </w:r>
      <w:r w:rsidDel="00000000" w:rsidR="00000000" w:rsidRPr="00000000">
        <w:rPr>
          <w:rFonts w:ascii="Times New Roman" w:cs="Times New Roman" w:eastAsia="Times New Roman" w:hAnsi="Times New Roman"/>
          <w:color w:val="212121"/>
          <w:sz w:val="28"/>
          <w:szCs w:val="28"/>
          <w:rtl w:val="0"/>
        </w:rPr>
        <w:t xml:space="preserve">their level of planning and preparation for the lesson by the details in their responses. Also, their knowledge in the standard(s) being taught and stating the specific resources or </w:t>
      </w:r>
      <w:r w:rsidDel="00000000" w:rsidR="00000000" w:rsidRPr="00000000">
        <w:rPr>
          <w:rFonts w:ascii="Times New Roman" w:cs="Times New Roman" w:eastAsia="Times New Roman" w:hAnsi="Times New Roman"/>
          <w:color w:val="111111"/>
          <w:sz w:val="28"/>
          <w:szCs w:val="28"/>
          <w:rtl w:val="0"/>
        </w:rPr>
        <w:t xml:space="preserve">materials prepared for the lesson and being prepared for the unexpected will let a coach or administrator know the level of planning and preparation. In the journal Strategies for Effective lesson Planning it states</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 that a productive lesson is not one in which everything goes exactly as planned, but one in which both students and instructors learn from each other. </w:t>
      </w:r>
      <w:r w:rsidDel="00000000" w:rsidR="00000000" w:rsidRPr="00000000">
        <w:rPr>
          <w:rFonts w:ascii="Times New Roman" w:cs="Times New Roman" w:eastAsia="Times New Roman" w:hAnsi="Times New Roman"/>
          <w:color w:val="05103e"/>
          <w:sz w:val="28"/>
          <w:szCs w:val="28"/>
          <w:rtl w:val="0"/>
        </w:rPr>
        <w:t xml:space="preserve">(</w:t>
      </w:r>
      <w:r w:rsidDel="00000000" w:rsidR="00000000" w:rsidRPr="00000000">
        <w:rPr>
          <w:rFonts w:ascii="Times New Roman" w:cs="Times New Roman" w:eastAsia="Times New Roman" w:hAnsi="Times New Roman"/>
          <w:i w:val="1"/>
          <w:color w:val="05103e"/>
          <w:sz w:val="28"/>
          <w:szCs w:val="28"/>
          <w:rtl w:val="0"/>
        </w:rPr>
        <w:t xml:space="preserve">Strategies for Effective Lesson Planning | CRLT</w:t>
      </w:r>
      <w:r w:rsidDel="00000000" w:rsidR="00000000" w:rsidRPr="00000000">
        <w:rPr>
          <w:rFonts w:ascii="Times New Roman" w:cs="Times New Roman" w:eastAsia="Times New Roman" w:hAnsi="Times New Roman"/>
          <w:color w:val="05103e"/>
          <w:sz w:val="28"/>
          <w:szCs w:val="28"/>
          <w:rtl w:val="0"/>
        </w:rPr>
        <w:t xml:space="preserve">, n.d.)</w:t>
      </w:r>
      <w:r w:rsidDel="00000000" w:rsidR="00000000" w:rsidRPr="00000000">
        <w:rPr>
          <w:rtl w:val="0"/>
        </w:rPr>
      </w:r>
    </w:p>
    <w:p w:rsidR="00000000" w:rsidDel="00000000" w:rsidP="00000000" w:rsidRDefault="00000000" w:rsidRPr="00000000" w14:paraId="0000001C">
      <w:pPr>
        <w:spacing w:line="480" w:lineRule="auto"/>
        <w:ind w:left="0" w:firstLine="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Classroom Observation</w:t>
      </w:r>
    </w:p>
    <w:p w:rsidR="00000000" w:rsidDel="00000000" w:rsidP="00000000" w:rsidRDefault="00000000" w:rsidRPr="00000000" w14:paraId="0000001D">
      <w:pPr>
        <w:spacing w:line="480" w:lineRule="auto"/>
        <w:ind w:left="0" w:firstLine="0"/>
        <w:rPr>
          <w:rFonts w:ascii="Times New Roman" w:cs="Times New Roman" w:eastAsia="Times New Roman" w:hAnsi="Times New Roman"/>
          <w:color w:val="212121"/>
          <w:sz w:val="20"/>
          <w:szCs w:val="20"/>
        </w:rPr>
      </w:pPr>
      <w:r w:rsidDel="00000000" w:rsidR="00000000" w:rsidRPr="00000000">
        <w:rPr>
          <w:rFonts w:ascii="Times New Roman" w:cs="Times New Roman" w:eastAsia="Times New Roman" w:hAnsi="Times New Roman"/>
          <w:b w:val="1"/>
          <w:sz w:val="28"/>
          <w:szCs w:val="28"/>
          <w:rtl w:val="0"/>
        </w:rPr>
        <w:tab/>
      </w:r>
      <w:r w:rsidDel="00000000" w:rsidR="00000000" w:rsidRPr="00000000">
        <w:rPr>
          <w:rFonts w:ascii="Times New Roman" w:cs="Times New Roman" w:eastAsia="Times New Roman" w:hAnsi="Times New Roman"/>
          <w:color w:val="212121"/>
          <w:sz w:val="28"/>
          <w:szCs w:val="28"/>
          <w:rtl w:val="0"/>
        </w:rPr>
        <w:t xml:space="preserve">Some components a coach/administrator might look for are: did they state the standard that they are working on, does the activity align with the standard and if there is an assessment or an activity that the teacher used to check and see if the students understood and learned the objective. In the ScienceDirect journal one of the highlights is that classroom</w:t>
      </w:r>
      <w:r w:rsidDel="00000000" w:rsidR="00000000" w:rsidRPr="00000000">
        <w:rPr>
          <w:rFonts w:ascii="Times New Roman" w:cs="Times New Roman" w:eastAsia="Times New Roman" w:hAnsi="Times New Roman"/>
          <w:color w:val="1f1f1f"/>
          <w:sz w:val="28"/>
          <w:szCs w:val="28"/>
          <w:rtl w:val="0"/>
        </w:rPr>
        <w:t xml:space="preserve"> observation is a key tool for </w:t>
      </w:r>
      <w:hyperlink r:id="rId6">
        <w:r w:rsidDel="00000000" w:rsidR="00000000" w:rsidRPr="00000000">
          <w:rPr>
            <w:rFonts w:ascii="Times New Roman" w:cs="Times New Roman" w:eastAsia="Times New Roman" w:hAnsi="Times New Roman"/>
            <w:color w:val="1f1f1f"/>
            <w:sz w:val="28"/>
            <w:szCs w:val="28"/>
            <w:rtl w:val="0"/>
          </w:rPr>
          <w:t xml:space="preserve">teacher development</w:t>
        </w:r>
      </w:hyperlink>
      <w:r w:rsidDel="00000000" w:rsidR="00000000" w:rsidRPr="00000000">
        <w:rPr>
          <w:rFonts w:ascii="Times New Roman" w:cs="Times New Roman" w:eastAsia="Times New Roman" w:hAnsi="Times New Roman"/>
          <w:color w:val="1f1f1f"/>
          <w:sz w:val="28"/>
          <w:szCs w:val="28"/>
          <w:rtl w:val="0"/>
        </w:rPr>
        <w:t xml:space="preserve"> and evaluation. (Martinez et al., 2016) </w:t>
      </w:r>
      <w:r w:rsidDel="00000000" w:rsidR="00000000" w:rsidRPr="00000000">
        <w:rPr>
          <w:rFonts w:ascii="Times New Roman" w:cs="Times New Roman" w:eastAsia="Times New Roman" w:hAnsi="Times New Roman"/>
          <w:color w:val="212121"/>
          <w:sz w:val="28"/>
          <w:szCs w:val="28"/>
          <w:rtl w:val="0"/>
        </w:rPr>
        <w:t xml:space="preserve">In the lesson the teacher stated the standard at the beginning of the lesson and at the end of the lesson. Some feedback examples from the coaches/administrators are first to acknowledge and give positive feedback on the specific things from the lesson that the teacher did well. Give specific feedback on the activity and highlight some examples from the activity that went well. Also, if there is any area of improvement, it is important to give specific feedback and some resources on what they can do to improve. It is important to give feedback on whether the feedback is positive, or an area of improvement.  I think that coaches/administrators should give constructive feedback but not during the observation. That time is the teacher's time to shine and show how they teach an actual lesson. If the teacher asked for advice or a suggestion during the observation then yes but otherwise I would not.  I would address it during the post-conference.</w:t>
      </w:r>
      <w:r w:rsidDel="00000000" w:rsidR="00000000" w:rsidRPr="00000000">
        <w:rPr>
          <w:rtl w:val="0"/>
        </w:rPr>
      </w:r>
    </w:p>
    <w:p w:rsidR="00000000" w:rsidDel="00000000" w:rsidP="00000000" w:rsidRDefault="00000000" w:rsidRPr="00000000" w14:paraId="0000001E">
      <w:pPr>
        <w:spacing w:line="480" w:lineRule="auto"/>
        <w:ind w:left="0" w:firstLine="0"/>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F">
      <w:pPr>
        <w:spacing w:line="480" w:lineRule="auto"/>
        <w:ind w:left="0" w:firstLine="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Post-Observation Conversation</w:t>
      </w:r>
    </w:p>
    <w:p w:rsidR="00000000" w:rsidDel="00000000" w:rsidP="00000000" w:rsidRDefault="00000000" w:rsidRPr="00000000" w14:paraId="00000020">
      <w:pPr>
        <w:pBdr>
          <w:top w:color="auto" w:space="0" w:sz="0" w:val="none"/>
          <w:bottom w:color="auto" w:space="0" w:sz="0" w:val="none"/>
          <w:right w:color="auto" w:space="0" w:sz="0" w:val="none"/>
          <w:between w:color="auto" w:space="0" w:sz="0" w:val="none"/>
        </w:pBdr>
        <w:spacing w:after="240" w:line="480"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The principal sets a positive tone by commenting to the teacher that she saw some really great strategies and then goes on to ask her how she felt her lesson went.  The teacher looked confident and relaxed in her answers as far as sharing that she felt the same way. The principal did use specific evidence when she stated if she had the sentence frame in front of them what would it reveal to them. Then she asked the teacher what she would do differently if she had the chance to teach the same lesson again with the same group of kids and the same topic. This made the teacher reflect and she was able to see and acknowledge that she would have shortened the passages and have more discussion. The principal was clear, specific, and effective with her comments and questions. She prepared the teacher by asking her what this will lead to. The teacher then was able to come up with some ideas on how she could use the lesson for the future. Also, the principal asked students what they were learning and the students gave her the answer which made her know that the students knew what they were learning about. The principal validated the teachers strengths. In this journal it states to ask orally or in written forms, such questions help not only recording the facts or features related to one’s teaching but also bring more possibilities to deepen the knowledge produced in such an interaction. </w:t>
      </w:r>
      <w:r w:rsidDel="00000000" w:rsidR="00000000" w:rsidRPr="00000000">
        <w:rPr>
          <w:rFonts w:ascii="Times New Roman" w:cs="Times New Roman" w:eastAsia="Times New Roman" w:hAnsi="Times New Roman"/>
          <w:color w:val="05103e"/>
          <w:sz w:val="28"/>
          <w:szCs w:val="28"/>
          <w:rtl w:val="0"/>
        </w:rPr>
        <w:t xml:space="preserve">(Arik, n.d.)</w:t>
      </w:r>
      <w:r w:rsidDel="00000000" w:rsidR="00000000" w:rsidRPr="00000000">
        <w:rPr>
          <w:rtl w:val="0"/>
        </w:rPr>
      </w:r>
    </w:p>
    <w:p w:rsidR="00000000" w:rsidDel="00000000" w:rsidP="00000000" w:rsidRDefault="00000000" w:rsidRPr="00000000" w14:paraId="00000021">
      <w:pPr>
        <w:pBdr>
          <w:top w:color="auto" w:space="0" w:sz="0" w:val="none"/>
          <w:bottom w:color="auto" w:space="0" w:sz="0" w:val="none"/>
          <w:right w:color="auto" w:space="0" w:sz="0" w:val="none"/>
          <w:between w:color="auto" w:space="0" w:sz="0" w:val="none"/>
        </w:pBdr>
        <w:spacing w:after="240" w:line="480" w:lineRule="auto"/>
        <w:ind w:left="0"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2">
      <w:pPr>
        <w:spacing w:line="276" w:lineRule="auto"/>
        <w:ind w:left="0" w:firstLine="0"/>
        <w:rPr>
          <w:rFonts w:ascii="Times New Roman" w:cs="Times New Roman" w:eastAsia="Times New Roman" w:hAnsi="Times New Roman"/>
          <w:b w:val="1"/>
          <w:color w:val="1e263f"/>
          <w:sz w:val="28"/>
          <w:szCs w:val="28"/>
        </w:rPr>
      </w:pPr>
      <w:r w:rsidDel="00000000" w:rsidR="00000000" w:rsidRPr="00000000">
        <w:rPr>
          <w:rFonts w:ascii="Times New Roman" w:cs="Times New Roman" w:eastAsia="Times New Roman" w:hAnsi="Times New Roman"/>
          <w:b w:val="1"/>
          <w:color w:val="1e263f"/>
          <w:sz w:val="28"/>
          <w:szCs w:val="28"/>
          <w:rtl w:val="0"/>
        </w:rPr>
        <w:t xml:space="preserve">References:</w:t>
      </w:r>
    </w:p>
    <w:p w:rsidR="00000000" w:rsidDel="00000000" w:rsidP="00000000" w:rsidRDefault="00000000" w:rsidRPr="00000000" w14:paraId="00000023">
      <w:pPr>
        <w:spacing w:line="276" w:lineRule="auto"/>
        <w:ind w:left="0" w:firstLine="0"/>
        <w:rPr>
          <w:rFonts w:ascii="Times New Roman" w:cs="Times New Roman" w:eastAsia="Times New Roman" w:hAnsi="Times New Roman"/>
          <w:b w:val="1"/>
          <w:color w:val="1e263f"/>
          <w:sz w:val="28"/>
          <w:szCs w:val="28"/>
        </w:rPr>
      </w:pPr>
      <w:r w:rsidDel="00000000" w:rsidR="00000000" w:rsidRPr="00000000">
        <w:rPr>
          <w:rtl w:val="0"/>
        </w:rPr>
      </w:r>
    </w:p>
    <w:p w:rsidR="00000000" w:rsidDel="00000000" w:rsidP="00000000" w:rsidRDefault="00000000" w:rsidRPr="00000000" w14:paraId="00000024">
      <w:pPr>
        <w:pBdr>
          <w:top w:color="auto" w:space="0" w:sz="0" w:val="none"/>
          <w:left w:color="auto" w:space="0" w:sz="0" w:val="none"/>
          <w:bottom w:color="auto" w:space="0" w:sz="0" w:val="none"/>
          <w:right w:color="auto" w:space="0" w:sz="0" w:val="none"/>
          <w:between w:color="auto" w:space="0" w:sz="0" w:val="none"/>
        </w:pBdr>
        <w:shd w:fill="ffffff" w:val="clear"/>
        <w:spacing w:line="480" w:lineRule="auto"/>
        <w:ind w:left="720"/>
        <w:rPr>
          <w:rFonts w:ascii="Calibri" w:cs="Calibri" w:eastAsia="Calibri" w:hAnsi="Calibri"/>
          <w:color w:val="1e263f"/>
          <w:sz w:val="24"/>
          <w:szCs w:val="24"/>
        </w:rPr>
      </w:pPr>
      <w:r w:rsidDel="00000000" w:rsidR="00000000" w:rsidRPr="00000000">
        <w:rPr>
          <w:rFonts w:ascii="Calibri" w:cs="Calibri" w:eastAsia="Calibri" w:hAnsi="Calibri"/>
          <w:color w:val="1e263f"/>
          <w:sz w:val="24"/>
          <w:szCs w:val="24"/>
          <w:rtl w:val="0"/>
        </w:rPr>
        <w:t xml:space="preserve">Arik, A. (n.d.). Questions to ask in Post-Observation conferences for a reflective practice. In </w:t>
      </w:r>
      <w:r w:rsidDel="00000000" w:rsidR="00000000" w:rsidRPr="00000000">
        <w:rPr>
          <w:rFonts w:ascii="Calibri" w:cs="Calibri" w:eastAsia="Calibri" w:hAnsi="Calibri"/>
          <w:i w:val="1"/>
          <w:color w:val="1e263f"/>
          <w:sz w:val="24"/>
          <w:szCs w:val="24"/>
          <w:rtl w:val="0"/>
        </w:rPr>
        <w:t xml:space="preserve">Hacettepe University</w:t>
      </w:r>
      <w:r w:rsidDel="00000000" w:rsidR="00000000" w:rsidRPr="00000000">
        <w:rPr>
          <w:rFonts w:ascii="Calibri" w:cs="Calibri" w:eastAsia="Calibri" w:hAnsi="Calibri"/>
          <w:color w:val="1e263f"/>
          <w:sz w:val="24"/>
          <w:szCs w:val="24"/>
          <w:rtl w:val="0"/>
        </w:rPr>
        <w:t xml:space="preserve"> [Journal-article]. https://files.eric.ed.gov/fulltext/ED494164.pdf</w:t>
      </w:r>
    </w:p>
    <w:p w:rsidR="00000000" w:rsidDel="00000000" w:rsidP="00000000" w:rsidRDefault="00000000" w:rsidRPr="00000000" w14:paraId="00000025">
      <w:pPr>
        <w:pBdr>
          <w:top w:color="auto" w:space="0" w:sz="0" w:val="none"/>
          <w:left w:color="auto" w:space="0" w:sz="0" w:val="none"/>
          <w:bottom w:color="auto" w:space="0" w:sz="0" w:val="none"/>
          <w:right w:color="auto" w:space="0" w:sz="0" w:val="none"/>
          <w:between w:color="auto" w:space="0" w:sz="0" w:val="none"/>
        </w:pBdr>
        <w:shd w:fill="ffffff" w:val="clear"/>
        <w:spacing w:line="480" w:lineRule="auto"/>
        <w:ind w:left="0" w:firstLine="0"/>
        <w:rPr>
          <w:rFonts w:ascii="Calibri" w:cs="Calibri" w:eastAsia="Calibri" w:hAnsi="Calibri"/>
          <w:color w:val="1e263f"/>
          <w:sz w:val="27"/>
          <w:szCs w:val="27"/>
        </w:rPr>
      </w:pPr>
      <w:r w:rsidDel="00000000" w:rsidR="00000000" w:rsidRPr="00000000">
        <w:rPr>
          <w:rtl w:val="0"/>
        </w:rPr>
      </w:r>
    </w:p>
    <w:p w:rsidR="00000000" w:rsidDel="00000000" w:rsidP="00000000" w:rsidRDefault="00000000" w:rsidRPr="00000000" w14:paraId="00000026">
      <w:pPr>
        <w:pBdr>
          <w:top w:color="auto" w:space="0" w:sz="0" w:val="none"/>
          <w:left w:color="auto" w:space="0" w:sz="0" w:val="none"/>
          <w:bottom w:color="auto" w:space="0" w:sz="0" w:val="none"/>
          <w:right w:color="auto" w:space="0" w:sz="0" w:val="none"/>
          <w:between w:color="auto" w:space="0" w:sz="0" w:val="none"/>
        </w:pBdr>
        <w:shd w:fill="ffffff" w:val="clear"/>
        <w:spacing w:line="480" w:lineRule="auto"/>
        <w:ind w:left="720"/>
        <w:rPr>
          <w:rFonts w:ascii="Calibri" w:cs="Calibri" w:eastAsia="Calibri" w:hAnsi="Calibri"/>
          <w:color w:val="1e263f"/>
          <w:sz w:val="24"/>
          <w:szCs w:val="24"/>
        </w:rPr>
      </w:pPr>
      <w:r w:rsidDel="00000000" w:rsidR="00000000" w:rsidRPr="00000000">
        <w:rPr>
          <w:rFonts w:ascii="Calibri" w:cs="Calibri" w:eastAsia="Calibri" w:hAnsi="Calibri"/>
          <w:color w:val="1e263f"/>
          <w:sz w:val="24"/>
          <w:szCs w:val="24"/>
          <w:rtl w:val="0"/>
        </w:rPr>
        <w:t xml:space="preserve">Martinez, F., Taut, S., &amp; Schaaf, K. (2016). Classroom observation for evaluating and improving teaching: An international perspective. </w:t>
      </w:r>
      <w:r w:rsidDel="00000000" w:rsidR="00000000" w:rsidRPr="00000000">
        <w:rPr>
          <w:rFonts w:ascii="Calibri" w:cs="Calibri" w:eastAsia="Calibri" w:hAnsi="Calibri"/>
          <w:i w:val="1"/>
          <w:color w:val="1e263f"/>
          <w:sz w:val="24"/>
          <w:szCs w:val="24"/>
          <w:rtl w:val="0"/>
        </w:rPr>
        <w:t xml:space="preserve">Studies in Educational Evaluation</w:t>
      </w:r>
      <w:r w:rsidDel="00000000" w:rsidR="00000000" w:rsidRPr="00000000">
        <w:rPr>
          <w:rFonts w:ascii="Calibri" w:cs="Calibri" w:eastAsia="Calibri" w:hAnsi="Calibri"/>
          <w:color w:val="1e263f"/>
          <w:sz w:val="24"/>
          <w:szCs w:val="24"/>
          <w:rtl w:val="0"/>
        </w:rPr>
        <w:t xml:space="preserve">, </w:t>
      </w:r>
      <w:r w:rsidDel="00000000" w:rsidR="00000000" w:rsidRPr="00000000">
        <w:rPr>
          <w:rFonts w:ascii="Calibri" w:cs="Calibri" w:eastAsia="Calibri" w:hAnsi="Calibri"/>
          <w:i w:val="1"/>
          <w:color w:val="1e263f"/>
          <w:sz w:val="24"/>
          <w:szCs w:val="24"/>
          <w:rtl w:val="0"/>
        </w:rPr>
        <w:t xml:space="preserve">49</w:t>
      </w:r>
      <w:r w:rsidDel="00000000" w:rsidR="00000000" w:rsidRPr="00000000">
        <w:rPr>
          <w:rFonts w:ascii="Calibri" w:cs="Calibri" w:eastAsia="Calibri" w:hAnsi="Calibri"/>
          <w:color w:val="1e263f"/>
          <w:sz w:val="24"/>
          <w:szCs w:val="24"/>
          <w:rtl w:val="0"/>
        </w:rPr>
        <w:t xml:space="preserve">, 15–29. </w:t>
      </w:r>
      <w:hyperlink r:id="rId7">
        <w:r w:rsidDel="00000000" w:rsidR="00000000" w:rsidRPr="00000000">
          <w:rPr>
            <w:rFonts w:ascii="Calibri" w:cs="Calibri" w:eastAsia="Calibri" w:hAnsi="Calibri"/>
            <w:color w:val="1155cc"/>
            <w:sz w:val="24"/>
            <w:szCs w:val="24"/>
            <w:u w:val="single"/>
            <w:rtl w:val="0"/>
          </w:rPr>
          <w:t xml:space="preserve">https://doi.org/10.1016/j.stueduc.2016.03.002</w:t>
        </w:r>
      </w:hyperlink>
      <w:r w:rsidDel="00000000" w:rsidR="00000000" w:rsidRPr="00000000">
        <w:rPr>
          <w:rtl w:val="0"/>
        </w:rPr>
      </w:r>
    </w:p>
    <w:p w:rsidR="00000000" w:rsidDel="00000000" w:rsidP="00000000" w:rsidRDefault="00000000" w:rsidRPr="00000000" w14:paraId="00000027">
      <w:pPr>
        <w:pBdr>
          <w:top w:color="auto" w:space="0" w:sz="0" w:val="none"/>
          <w:left w:color="auto" w:space="0" w:sz="0" w:val="none"/>
          <w:bottom w:color="auto" w:space="0" w:sz="0" w:val="none"/>
          <w:right w:color="auto" w:space="0" w:sz="0" w:val="none"/>
          <w:between w:color="auto" w:space="0" w:sz="0" w:val="none"/>
        </w:pBdr>
        <w:shd w:fill="ffffff" w:val="clear"/>
        <w:spacing w:line="480" w:lineRule="auto"/>
        <w:ind w:left="720"/>
        <w:rPr>
          <w:rFonts w:ascii="Calibri" w:cs="Calibri" w:eastAsia="Calibri" w:hAnsi="Calibri"/>
          <w:color w:val="1e263f"/>
          <w:sz w:val="24"/>
          <w:szCs w:val="24"/>
        </w:rPr>
      </w:pPr>
      <w:r w:rsidDel="00000000" w:rsidR="00000000" w:rsidRPr="00000000">
        <w:rPr>
          <w:rtl w:val="0"/>
        </w:rPr>
      </w:r>
    </w:p>
    <w:p w:rsidR="00000000" w:rsidDel="00000000" w:rsidP="00000000" w:rsidRDefault="00000000" w:rsidRPr="00000000" w14:paraId="0000002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480" w:lineRule="auto"/>
        <w:rPr>
          <w:rFonts w:ascii="Times New Roman" w:cs="Times New Roman" w:eastAsia="Times New Roman" w:hAnsi="Times New Roman"/>
          <w:color w:val="1e263f"/>
          <w:sz w:val="28"/>
          <w:szCs w:val="28"/>
        </w:rPr>
      </w:pPr>
      <w:r w:rsidDel="00000000" w:rsidR="00000000" w:rsidRPr="00000000">
        <w:rPr>
          <w:rFonts w:ascii="Times New Roman" w:cs="Times New Roman" w:eastAsia="Times New Roman" w:hAnsi="Times New Roman"/>
          <w:color w:val="1e263f"/>
          <w:sz w:val="28"/>
          <w:szCs w:val="28"/>
          <w:rtl w:val="0"/>
        </w:rPr>
        <w:t xml:space="preserve">‌</w:t>
      </w:r>
      <w:r w:rsidDel="00000000" w:rsidR="00000000" w:rsidRPr="00000000">
        <w:rPr>
          <w:rFonts w:ascii="Times New Roman" w:cs="Times New Roman" w:eastAsia="Times New Roman" w:hAnsi="Times New Roman"/>
          <w:i w:val="1"/>
          <w:color w:val="1e263f"/>
          <w:sz w:val="28"/>
          <w:szCs w:val="28"/>
          <w:rtl w:val="0"/>
        </w:rPr>
        <w:t xml:space="preserve">Strategies for Effective Lesson Planning | CRLT</w:t>
      </w:r>
      <w:r w:rsidDel="00000000" w:rsidR="00000000" w:rsidRPr="00000000">
        <w:rPr>
          <w:rFonts w:ascii="Times New Roman" w:cs="Times New Roman" w:eastAsia="Times New Roman" w:hAnsi="Times New Roman"/>
          <w:color w:val="1e263f"/>
          <w:sz w:val="28"/>
          <w:szCs w:val="28"/>
          <w:rtl w:val="0"/>
        </w:rPr>
        <w:t xml:space="preserve">. (n.d.). https://crlt.umich.edu/gsis/p2_5</w:t>
      </w:r>
    </w:p>
    <w:p w:rsidR="00000000" w:rsidDel="00000000" w:rsidP="00000000" w:rsidRDefault="00000000" w:rsidRPr="00000000" w14:paraId="0000002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480" w:lineRule="auto"/>
        <w:rPr>
          <w:rFonts w:ascii="Calibri" w:cs="Calibri" w:eastAsia="Calibri" w:hAnsi="Calibri"/>
          <w:color w:val="1e263f"/>
          <w:sz w:val="27"/>
          <w:szCs w:val="27"/>
        </w:rPr>
      </w:pPr>
      <w:r w:rsidDel="00000000" w:rsidR="00000000" w:rsidRPr="00000000">
        <w:rPr>
          <w:rtl w:val="0"/>
        </w:rPr>
      </w:r>
    </w:p>
    <w:p w:rsidR="00000000" w:rsidDel="00000000" w:rsidP="00000000" w:rsidRDefault="00000000" w:rsidRPr="00000000" w14:paraId="0000002A">
      <w:pPr>
        <w:pBdr>
          <w:top w:color="auto" w:space="0" w:sz="0" w:val="none"/>
          <w:left w:color="auto" w:space="0" w:sz="0" w:val="none"/>
          <w:bottom w:color="auto" w:space="0" w:sz="0" w:val="none"/>
          <w:right w:color="auto" w:space="0" w:sz="0" w:val="none"/>
          <w:between w:color="auto" w:space="0" w:sz="0" w:val="none"/>
        </w:pBdr>
        <w:shd w:fill="ffffff" w:val="clear"/>
        <w:spacing w:line="480" w:lineRule="auto"/>
        <w:ind w:left="720" w:firstLine="0"/>
        <w:rPr>
          <w:rFonts w:ascii="Calibri" w:cs="Calibri" w:eastAsia="Calibri" w:hAnsi="Calibri"/>
          <w:color w:val="1e263f"/>
          <w:sz w:val="27"/>
          <w:szCs w:val="27"/>
        </w:rPr>
      </w:pPr>
      <w:r w:rsidDel="00000000" w:rsidR="00000000" w:rsidRPr="00000000">
        <w:rPr>
          <w:rtl w:val="0"/>
        </w:rPr>
      </w:r>
    </w:p>
    <w:p w:rsidR="00000000" w:rsidDel="00000000" w:rsidP="00000000" w:rsidRDefault="00000000" w:rsidRPr="00000000" w14:paraId="0000002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480" w:lineRule="auto"/>
        <w:ind w:left="720" w:firstLine="0"/>
        <w:rPr>
          <w:rFonts w:ascii="Calibri" w:cs="Calibri" w:eastAsia="Calibri" w:hAnsi="Calibri"/>
          <w:color w:val="1e263f"/>
          <w:sz w:val="27"/>
          <w:szCs w:val="27"/>
        </w:rPr>
      </w:pPr>
      <w:r w:rsidDel="00000000" w:rsidR="00000000" w:rsidRPr="00000000">
        <w:rPr>
          <w:rtl w:val="0"/>
        </w:rPr>
      </w:r>
    </w:p>
    <w:p w:rsidR="00000000" w:rsidDel="00000000" w:rsidP="00000000" w:rsidRDefault="00000000" w:rsidRPr="00000000" w14:paraId="0000002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480" w:lineRule="auto"/>
        <w:rPr>
          <w:rFonts w:ascii="Calibri" w:cs="Calibri" w:eastAsia="Calibri" w:hAnsi="Calibri"/>
          <w:color w:val="1e263f"/>
          <w:sz w:val="24"/>
          <w:szCs w:val="24"/>
        </w:rPr>
      </w:pPr>
      <w:r w:rsidDel="00000000" w:rsidR="00000000" w:rsidRPr="00000000">
        <w:rPr>
          <w:rFonts w:ascii="Calibri" w:cs="Calibri" w:eastAsia="Calibri" w:hAnsi="Calibri"/>
          <w:color w:val="1e263f"/>
          <w:sz w:val="27"/>
          <w:szCs w:val="27"/>
          <w:rtl w:val="0"/>
        </w:rPr>
        <w:t xml:space="preserve">‌</w:t>
      </w:r>
      <w:r w:rsidDel="00000000" w:rsidR="00000000" w:rsidRPr="00000000">
        <w:rPr>
          <w:rtl w:val="0"/>
        </w:rPr>
      </w:r>
    </w:p>
    <w:p w:rsidR="00000000" w:rsidDel="00000000" w:rsidP="00000000" w:rsidRDefault="00000000" w:rsidRPr="00000000" w14:paraId="0000002D">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color w:val="1e263f"/>
          <w:sz w:val="24"/>
          <w:szCs w:val="24"/>
        </w:rPr>
      </w:pPr>
      <w:r w:rsidDel="00000000" w:rsidR="00000000" w:rsidRPr="00000000">
        <w:rPr>
          <w:rtl w:val="0"/>
        </w:rPr>
      </w:r>
    </w:p>
    <w:p w:rsidR="00000000" w:rsidDel="00000000" w:rsidP="00000000" w:rsidRDefault="00000000" w:rsidRPr="00000000" w14:paraId="0000002E">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rFonts w:ascii="Roboto" w:cs="Roboto" w:eastAsia="Roboto" w:hAnsi="Roboto"/>
          <w:color w:val="1e263f"/>
        </w:rPr>
      </w:pPr>
      <w:r w:rsidDel="00000000" w:rsidR="00000000" w:rsidRPr="00000000">
        <w:rPr>
          <w:rtl w:val="0"/>
        </w:rPr>
      </w:r>
    </w:p>
    <w:p w:rsidR="00000000" w:rsidDel="00000000" w:rsidP="00000000" w:rsidRDefault="00000000" w:rsidRPr="00000000" w14:paraId="0000002F">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rFonts w:ascii="Roboto" w:cs="Roboto" w:eastAsia="Roboto" w:hAnsi="Roboto"/>
          <w:color w:val="1e263f"/>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sectPr>
      <w:head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Calibri"/>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1">
    <w:pPr>
      <w:jc w:val="right"/>
      <w:rPr/>
    </w:pP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sciencedirect.com/topics/social-sciences/teacher-professional-development" TargetMode="External"/><Relationship Id="rId7" Type="http://schemas.openxmlformats.org/officeDocument/2006/relationships/hyperlink" Target="https://doi.org/10.1016/j.stueduc.2016.03.002"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