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Induction Plans for Beginning Teachers</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Marybelle Aguilar</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EAD 536</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Induction Plan for Beginning Teachers</w:t>
      </w:r>
    </w:p>
    <w:p w:rsidR="00000000" w:rsidDel="00000000" w:rsidP="00000000" w:rsidRDefault="00000000" w:rsidRPr="00000000" w14:paraId="00000019">
      <w:pPr>
        <w:spacing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induction of new teachers is crucial for ensuring their long-term success and retention within the educational field. A well-structured induction program addresses these issues by providing new teachers with the necessary tools, guidance, and support to thrive in their roles. Proper induction not only helps new teachers acclimate to their new environment but also fosters a culture of collaboration and high expectations, which is essential for both their personal growth and the overall success of the school. This assignment aims to design a comprehensive plan for welcoming new teachers and creating a robust mentoring system to support their development and integration into the school community.</w:t>
      </w:r>
    </w:p>
    <w:p w:rsidR="00000000" w:rsidDel="00000000" w:rsidP="00000000" w:rsidRDefault="00000000" w:rsidRPr="00000000" w14:paraId="0000001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7125"/>
        <w:tblGridChange w:id="0">
          <w:tblGrid>
            <w:gridCol w:w="1755"/>
            <w:gridCol w:w="712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&amp; Introductions         </w:t>
              <w:tab/>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Facilitator(s) Name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Aguilar, Principal</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Flores, Office Manager</w:t>
            </w:r>
          </w:p>
        </w:tc>
      </w:tr>
      <w:tr>
        <w:trPr>
          <w:cantSplit w:val="0"/>
          <w:trHeight w:val="19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 of Session (Why is it happening and what does it aim to do) Time:1hr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Aguilar will kick off the morning by welcoming the new teachers, having an ice breaker and introducing them to the school’s mission, vision, and Teacher’s ABC’s Handbook. In this session we will provide new employee handbook during onboarding that can help them understand what is and isn’t part of working at our school and everything from our mission, vision, what the school stands for and guidelines and procedures</w:t>
            </w:r>
          </w:p>
        </w:tc>
      </w:tr>
      <w:tr>
        <w:trPr>
          <w:cantSplit w:val="0"/>
          <w:trHeight w:val="24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2">
            <w:pPr>
              <w:spacing w:after="26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Materials (may be listed as bullets)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Teacher’s ABC’s Handbook (copies)</w:t>
            </w:r>
          </w:p>
          <w:p w:rsidR="00000000" w:rsidDel="00000000" w:rsidP="00000000" w:rsidRDefault="00000000" w:rsidRPr="00000000" w14:paraId="00000024">
            <w:pPr>
              <w:spacing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Welcome PowerPoint</w:t>
            </w:r>
          </w:p>
          <w:p w:rsidR="00000000" w:rsidDel="00000000" w:rsidP="00000000" w:rsidRDefault="00000000" w:rsidRPr="00000000" w14:paraId="00000025">
            <w:pPr>
              <w:spacing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Ice Breaker Materials (Half sheets, markers, cardstock, and music)</w:t>
            </w:r>
          </w:p>
          <w:p w:rsidR="00000000" w:rsidDel="00000000" w:rsidP="00000000" w:rsidRDefault="00000000" w:rsidRPr="00000000" w14:paraId="00000026">
            <w:pPr>
              <w:spacing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Projector</w:t>
            </w:r>
          </w:p>
          <w:p w:rsidR="00000000" w:rsidDel="00000000" w:rsidP="00000000" w:rsidRDefault="00000000" w:rsidRPr="00000000" w14:paraId="00000027">
            <w:pPr>
              <w:spacing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Laptop</w:t>
            </w:r>
          </w:p>
        </w:tc>
      </w:tr>
      <w:tr>
        <w:trPr>
          <w:cantSplit w:val="0"/>
          <w:trHeight w:val="24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 (How it promotes a culture of collaboration, trust, high expectations, continuous improvement)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opening session sets a positive tone and helps new teachers feel welcomed. Ms. Aguilar, as the principal, is key in establishing the school’s culture and aligning the new teachers with the school’s goals from the start. By doing an ice breaker it can start to build trust and create a culture of collaboration. Reviewing the ABC’s handbook will promote high expectations and continuous improvement. Myself and the office manager will be given the presentation since the handbook has several office procedures that she will discuss with the new teachers.</w:t>
            </w:r>
          </w:p>
        </w:tc>
      </w:tr>
      <w:tr>
        <w:trPr>
          <w:cantSplit w:val="0"/>
          <w:trHeight w:val="16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min.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Tour: A guided tour of the campus will be conducted, introducing new teachers to important locations (e.g., classrooms, offices, cafeteria) and key staff members (Kitchen and custodial staff).</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Familiarizing new teachers with the physical layout and key personnel of the school helps reduce first-day anxiety and integrates them into the school community.</w:t>
            </w:r>
          </w:p>
        </w:tc>
      </w:tr>
      <w:tr>
        <w:trPr>
          <w:cantSplit w:val="0"/>
          <w:trHeight w:val="16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School Culture and Expectations</w:t>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1 hr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with ABC’s Handbook Ms. Aguilar will lead a session on school culture, including rituals, routines, and the expectations for teaching and behavior. This session will include a discussion on the school’s vision, mission, and values. </w:t>
            </w: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Establishing a clear understanding of the school’s culture and expectations ensures that new teachers are aligned with the school’s ethos.</w:t>
            </w:r>
          </w:p>
        </w:tc>
      </w:tr>
    </w:tbl>
    <w:p w:rsidR="00000000" w:rsidDel="00000000" w:rsidP="00000000" w:rsidRDefault="00000000" w:rsidRPr="00000000" w14:paraId="00000032">
      <w:pPr>
        <w:spacing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room set up is in “Under Construction Theme” since we are under new management, new teachers, and other new staff in the school. Breakfast is provided and there are tables with four chairs at each table. On top of the tables there are baskets with teacher’s names that are full of supplies to get them started in their classes.  </w:t>
      </w:r>
    </w:p>
    <w:p w:rsidR="00000000" w:rsidDel="00000000" w:rsidP="00000000" w:rsidRDefault="00000000" w:rsidRPr="00000000" w14:paraId="0000003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Teacher Orientation Plan</w:t>
      </w:r>
    </w:p>
    <w:p w:rsidR="00000000" w:rsidDel="00000000" w:rsidP="00000000" w:rsidRDefault="00000000" w:rsidRPr="00000000" w14:paraId="00000034">
      <w:pPr>
        <w:spacing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 mentoring plan is to offer new teachers structured support and guidance, facilitating their transition into the school environment, enhancing their teaching practices, and building a robust support network. Effective mentoring not only aids in acclimating new educators but also improves their teaching quality and job satisfaction, which boosts teacher retention. This plan is designed to address the challenges faced by new teachers, foster professional growth, and create a collaborative school culture that promotes high expectations and continuous improvement (Feiman-Nemser, 2001).</w:t>
      </w:r>
    </w:p>
    <w:p w:rsidR="00000000" w:rsidDel="00000000" w:rsidP="00000000" w:rsidRDefault="00000000" w:rsidRPr="00000000" w14:paraId="0000003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Criteria</w:t>
      </w:r>
    </w:p>
    <w:p w:rsidR="00000000" w:rsidDel="00000000" w:rsidP="00000000" w:rsidRDefault="00000000" w:rsidRPr="00000000" w14:paraId="00000036">
      <w:pPr>
        <w:spacing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w:t>
      </w:r>
      <w:r w:rsidDel="00000000" w:rsidR="00000000" w:rsidRPr="00000000">
        <w:rPr>
          <w:rFonts w:ascii="Times New Roman" w:cs="Times New Roman" w:eastAsia="Times New Roman" w:hAnsi="Times New Roman"/>
          <w:sz w:val="24"/>
          <w:szCs w:val="24"/>
          <w:rtl w:val="0"/>
        </w:rPr>
        <w:t xml:space="preserve"> Proven high proficiency in teaching practices, including effective classroom management and student engagement. This criterion is essential because mentors who demonstrate excellence in these areas can model best practices and provide actionable insights that new teachers can adopt. Research indicates that high-performing teachers have a positive impact on their mentees by providing practical strategies and fostering effective classroom environments (Ingersoll &amp; Strong, 2011). Effective classroom management and engaging instruction are critical skills that mentors can impart to new teachers.</w:t>
      </w:r>
    </w:p>
    <w:p w:rsidR="00000000" w:rsidDel="00000000" w:rsidP="00000000" w:rsidRDefault="00000000" w:rsidRPr="00000000" w14:paraId="00000037">
      <w:pPr>
        <w:spacing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Skills:</w:t>
      </w:r>
      <w:r w:rsidDel="00000000" w:rsidR="00000000" w:rsidRPr="00000000">
        <w:rPr>
          <w:rFonts w:ascii="Times New Roman" w:cs="Times New Roman" w:eastAsia="Times New Roman" w:hAnsi="Times New Roman"/>
          <w:sz w:val="24"/>
          <w:szCs w:val="24"/>
          <w:rtl w:val="0"/>
        </w:rPr>
        <w:t xml:space="preserve"> Ability to provide constructive feedback and support in a manner that encourages growth and development. This criterion is crucial because successful mentoring relies heavily on clear, supportive communication. Mentors need to offer feedback that is both constructive and empathetic to help new teachers reflect on their practice and make improvements (Hattie, 2009). Effective communication helps build a trusting relationship between the mentor and the mentee, which is fundamental for a successful mentoring experience.</w:t>
      </w:r>
    </w:p>
    <w:p w:rsidR="00000000" w:rsidDel="00000000" w:rsidP="00000000" w:rsidRDefault="00000000" w:rsidRPr="00000000" w14:paraId="00000038">
      <w:pPr>
        <w:spacing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Timeline/Activities</w:t>
      </w:r>
    </w:p>
    <w:p w:rsidR="00000000" w:rsidDel="00000000" w:rsidP="00000000" w:rsidRDefault="00000000" w:rsidRPr="00000000" w14:paraId="0000003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Month                           </w:t>
        <w:tab/>
        <w:t xml:space="preserve">Activity                           </w:t>
        <w:tab/>
        <w:t xml:space="preserve">Details</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2355"/>
        <w:gridCol w:w="4290"/>
        <w:tblGridChange w:id="0">
          <w:tblGrid>
            <w:gridCol w:w="2250"/>
            <w:gridCol w:w="2355"/>
            <w:gridCol w:w="4290"/>
          </w:tblGrid>
        </w:tblGridChange>
      </w:tblGrid>
      <w:tr>
        <w:trPr>
          <w:cantSplit w:val="0"/>
          <w:trHeight w:val="11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August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Meeting and Goal Setting</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Mentor and new teacher meet to set goals, discuss expectations, and establish a mentoring plan. The new teacher observes the mentor teacher’s classroom.</w:t>
            </w:r>
          </w:p>
        </w:tc>
      </w:tr>
      <w:tr>
        <w:trPr>
          <w:cantSplit w:val="0"/>
          <w:trHeight w:val="9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w:t>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rPr/>
            </w:pPr>
            <w:r w:rsidDel="00000000" w:rsidR="00000000" w:rsidRPr="00000000">
              <w:rPr>
                <w:rtl w:val="0"/>
              </w:rPr>
            </w:r>
          </w:p>
          <w:tbl>
            <w:tblPr>
              <w:tblStyle w:val="Table3"/>
              <w:tblW w:w="2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tblGridChange w:id="0">
                <w:tblGrid>
                  <w:gridCol w:w="205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Coaching Sequence</w:t>
                  </w:r>
                </w:p>
              </w:tc>
            </w:tr>
          </w:tbl>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Pre-conference to discuss lesson plans, observation of the beginning teacher, and post-conference for feedback.</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w:t>
            </w:r>
          </w:p>
          <w:p w:rsidR="00000000" w:rsidDel="00000000" w:rsidP="00000000" w:rsidRDefault="00000000" w:rsidRPr="00000000" w14:paraId="000000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rPr/>
            </w:pPr>
            <w:r w:rsidDel="00000000" w:rsidR="00000000" w:rsidRPr="00000000">
              <w:rPr>
                <w:rtl w:val="0"/>
              </w:rPr>
            </w:r>
          </w:p>
          <w:tbl>
            <w:tblPr>
              <w:tblStyle w:val="Table5"/>
              <w:tblW w:w="1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tblGridChange w:id="0">
                <w:tblGrid>
                  <w:gridCol w:w="169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Observation</w:t>
                  </w:r>
                </w:p>
              </w:tc>
            </w:tr>
          </w:tbl>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teacher observes a different experienced teacher to gain additional perspectives on teaching practices.</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p w:rsidR="00000000" w:rsidDel="00000000" w:rsidP="00000000" w:rsidRDefault="00000000" w:rsidRPr="00000000" w14:paraId="0000004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rPr/>
            </w:pPr>
            <w:r w:rsidDel="00000000" w:rsidR="00000000" w:rsidRPr="00000000">
              <w:rPr>
                <w:rtl w:val="0"/>
              </w:rPr>
            </w:r>
          </w:p>
          <w:tbl>
            <w:tblPr>
              <w:tblStyle w:val="Table7"/>
              <w:tblW w:w="2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tblGridChange w:id="0">
                <w:tblGrid>
                  <w:gridCol w:w="205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Planning Session</w:t>
                  </w:r>
                </w:p>
              </w:tc>
            </w:tr>
          </w:tbl>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Mentor and new teacher work together to plan lessons and discuss instructional strategies.</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December</w:t>
            </w:r>
          </w:p>
          <w:p w:rsidR="00000000" w:rsidDel="00000000" w:rsidP="00000000" w:rsidRDefault="00000000" w:rsidRPr="00000000" w14:paraId="000000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8">
            <w:pPr>
              <w:rPr/>
            </w:pPr>
            <w:r w:rsidDel="00000000" w:rsidR="00000000" w:rsidRPr="00000000">
              <w:rPr>
                <w:rtl w:val="0"/>
              </w:rPr>
            </w:r>
          </w:p>
          <w:tbl>
            <w:tblPr>
              <w:tblStyle w:val="Table9"/>
              <w:tblW w:w="2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tblGridChange w:id="0">
                <w:tblGrid>
                  <w:gridCol w:w="205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and Mid-Year Review</w:t>
                  </w:r>
                </w:p>
              </w:tc>
            </w:tr>
          </w:tbl>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Mid-year review to assess progress, adjust goals, and address any concerns.</w:t>
            </w:r>
          </w:p>
        </w:tc>
      </w:tr>
      <w:tr>
        <w:trPr>
          <w:cantSplit w:val="0"/>
          <w:trHeight w:val="8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F">
            <w:pPr>
              <w:rPr/>
            </w:pPr>
            <w:r w:rsidDel="00000000" w:rsidR="00000000" w:rsidRPr="00000000">
              <w:rPr>
                <w:rtl w:val="0"/>
              </w:rPr>
            </w:r>
          </w:p>
          <w:tbl>
            <w:tblPr>
              <w:tblStyle w:val="Table11"/>
              <w:tblW w:w="2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tblGridChange w:id="0">
                <w:tblGrid>
                  <w:gridCol w:w="205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Coaching Sequence</w:t>
                  </w:r>
                </w:p>
              </w:tc>
            </w:tr>
          </w:tbl>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62">
                  <w:pPr>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Pre-conference to review progress, observation of the beginning teacher, and post-conference for feedback.</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March</w:t>
            </w:r>
          </w:p>
          <w:p w:rsidR="00000000" w:rsidDel="00000000" w:rsidP="00000000" w:rsidRDefault="00000000" w:rsidRPr="00000000" w14:paraId="000000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7">
            <w:pPr>
              <w:rPr/>
            </w:pPr>
            <w:r w:rsidDel="00000000" w:rsidR="00000000" w:rsidRPr="00000000">
              <w:rPr>
                <w:rtl w:val="0"/>
              </w:rPr>
            </w:r>
          </w:p>
          <w:tbl>
            <w:tblPr>
              <w:tblStyle w:val="Table13"/>
              <w:tblW w:w="1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tblGridChange w:id="0">
                <w:tblGrid>
                  <w:gridCol w:w="169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Observation</w:t>
                  </w:r>
                </w:p>
              </w:tc>
            </w:tr>
          </w:tbl>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mentor observes the new teacher’s classroom again to provide feedback and support on recent developments.</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April</w:t>
            </w:r>
          </w:p>
          <w:p w:rsidR="00000000" w:rsidDel="00000000" w:rsidP="00000000" w:rsidRDefault="00000000" w:rsidRPr="00000000" w14:paraId="000000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F">
            <w:pPr>
              <w:rPr/>
            </w:pPr>
            <w:r w:rsidDel="00000000" w:rsidR="00000000" w:rsidRPr="00000000">
              <w:rPr>
                <w:rtl w:val="0"/>
              </w:rPr>
            </w:r>
          </w:p>
          <w:tbl>
            <w:tblPr>
              <w:tblStyle w:val="Table15"/>
              <w:tblW w:w="2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tblGridChange w:id="0">
                <w:tblGrid>
                  <w:gridCol w:w="205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Planning Session</w:t>
                  </w:r>
                </w:p>
              </w:tc>
            </w:tr>
          </w:tbl>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session for collaborative lesson planning and discussion of instructional strategies.</w:t>
            </w:r>
          </w:p>
        </w:tc>
      </w:tr>
      <w:tr>
        <w:trPr>
          <w:cantSplit w:val="0"/>
          <w:trHeight w:val="16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w:t>
            </w:r>
          </w:p>
          <w:p w:rsidR="00000000" w:rsidDel="00000000" w:rsidP="00000000" w:rsidRDefault="00000000" w:rsidRPr="00000000" w14:paraId="000000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7">
            <w:pPr>
              <w:rPr/>
            </w:pPr>
            <w:r w:rsidDel="00000000" w:rsidR="00000000" w:rsidRPr="00000000">
              <w:rPr>
                <w:rtl w:val="0"/>
              </w:rPr>
            </w:r>
          </w:p>
          <w:tbl>
            <w:tblPr>
              <w:tblStyle w:val="Table17"/>
              <w:tblW w:w="2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tblGridChange w:id="0">
                <w:tblGrid>
                  <w:gridCol w:w="2055"/>
                </w:tblGrid>
              </w:tblGridChange>
            </w:tblGrid>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Coaching Sequence and End-of-Year Reflection</w:t>
                  </w:r>
                </w:p>
              </w:tc>
            </w:tr>
          </w:tbl>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
              <w:tblW w:w="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
              <w:tblGridChange w:id="0">
                <w:tblGrid>
                  <w:gridCol w:w="30"/>
                </w:tblGrid>
              </w:tblGridChange>
            </w:tblGrid>
            <w:tr>
              <w:trPr>
                <w:cantSplit w:val="0"/>
                <w:trHeight w:val="3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pre-conference to discuss overall growth, observation of the new teacher, and post-conference feedback. The new teacher observes the mentor in a different context. End-of-year reflection meeting to discuss overall progress and future goals.</w:t>
            </w:r>
          </w:p>
        </w:tc>
      </w:tr>
    </w:tbl>
    <w:p w:rsidR="00000000" w:rsidDel="00000000" w:rsidP="00000000" w:rsidRDefault="00000000" w:rsidRPr="00000000" w14:paraId="0000007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 Development</w:t>
      </w:r>
    </w:p>
    <w:p w:rsidR="00000000" w:rsidDel="00000000" w:rsidP="00000000" w:rsidRDefault="00000000" w:rsidRPr="00000000" w14:paraId="0000007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Classroom Management Techniques Workshop</w:t>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Classroom management is crucial for maintaining a positive and productive learning environment. This workshop will provide teachers with practical strategies for creating clear expectations and handling behavioral issues effectively. Our school has noticed an increase in classroom disruptions, indicating a need for better management techniques. By attending this workshop, teachers will learn techniques that can help them manage their classrooms more effectively and improve student engagement.</w:t>
      </w:r>
    </w:p>
    <w:p w:rsidR="00000000" w:rsidDel="00000000" w:rsidP="00000000" w:rsidRDefault="00000000" w:rsidRPr="00000000" w14:paraId="0000008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Data-Driven Instruction Seminar</w:t>
      </w:r>
    </w:p>
    <w:p w:rsidR="00000000" w:rsidDel="00000000" w:rsidP="00000000" w:rsidRDefault="00000000" w:rsidRPr="00000000" w14:paraId="0000008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Using student performance data to guide teaching is essential for improving student learning. This seminar will teach teachers how to analyze student data and use it to adjust their teaching methods. Our school’s data shows that there is a gap in student achievement, suggesting that teachers could benefit from better ways to use data to support their students. This seminar will help teachers learn how to interpret test results, set learning goals, and adjust their instruction based on student needs.</w:t>
      </w:r>
    </w:p>
    <w:p w:rsidR="00000000" w:rsidDel="00000000" w:rsidP="00000000" w:rsidRDefault="00000000" w:rsidRPr="00000000" w14:paraId="0000008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Budgetary Implications</w:t>
      </w:r>
    </w:p>
    <w:p w:rsidR="00000000" w:rsidDel="00000000" w:rsidP="00000000" w:rsidRDefault="00000000" w:rsidRPr="00000000" w14:paraId="0000008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Mentor Stipends:</w:t>
      </w:r>
    </w:p>
    <w:p w:rsidR="00000000" w:rsidDel="00000000" w:rsidP="00000000" w:rsidRDefault="00000000" w:rsidRPr="00000000" w14:paraId="00000085">
      <w:pPr>
        <w:numPr>
          <w:ilvl w:val="0"/>
          <w:numId w:val="1"/>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Mentors may receive additional pay for their time and effort.</w:t>
      </w:r>
    </w:p>
    <w:p w:rsidR="00000000" w:rsidDel="00000000" w:rsidP="00000000" w:rsidRDefault="00000000" w:rsidRPr="00000000" w14:paraId="00000086">
      <w:pPr>
        <w:numPr>
          <w:ilvl w:val="0"/>
          <w:numId w:val="1"/>
        </w:numPr>
        <w:spacing w:after="240" w:line="480" w:lineRule="auto"/>
        <w:ind w:left="720" w:hanging="360"/>
      </w:pPr>
      <w:r w:rsidDel="00000000" w:rsidR="00000000" w:rsidRPr="00000000">
        <w:rPr>
          <w:rFonts w:ascii="Times New Roman" w:cs="Times New Roman" w:eastAsia="Times New Roman" w:hAnsi="Times New Roman"/>
          <w:b w:val="1"/>
          <w:sz w:val="24"/>
          <w:szCs w:val="24"/>
          <w:rtl w:val="0"/>
        </w:rPr>
        <w:t xml:space="preserve">Estimated Cost:</w:t>
      </w:r>
      <w:r w:rsidDel="00000000" w:rsidR="00000000" w:rsidRPr="00000000">
        <w:rPr>
          <w:rFonts w:ascii="Times New Roman" w:cs="Times New Roman" w:eastAsia="Times New Roman" w:hAnsi="Times New Roman"/>
          <w:sz w:val="24"/>
          <w:szCs w:val="24"/>
          <w:rtl w:val="0"/>
        </w:rPr>
        <w:t xml:space="preserve"> $500 to $1,000 per mentor per year.</w:t>
      </w:r>
    </w:p>
    <w:p w:rsidR="00000000" w:rsidDel="00000000" w:rsidP="00000000" w:rsidRDefault="00000000" w:rsidRPr="00000000" w14:paraId="0000008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Professional Development Workshops:</w:t>
      </w:r>
    </w:p>
    <w:p w:rsidR="00000000" w:rsidDel="00000000" w:rsidP="00000000" w:rsidRDefault="00000000" w:rsidRPr="00000000" w14:paraId="00000088">
      <w:pPr>
        <w:numPr>
          <w:ilvl w:val="0"/>
          <w:numId w:val="3"/>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Workshops for mentors and new teachers on topics like classroom management and data use.</w:t>
      </w:r>
    </w:p>
    <w:p w:rsidR="00000000" w:rsidDel="00000000" w:rsidP="00000000" w:rsidRDefault="00000000" w:rsidRPr="00000000" w14:paraId="00000089">
      <w:pPr>
        <w:numPr>
          <w:ilvl w:val="0"/>
          <w:numId w:val="3"/>
        </w:numPr>
        <w:spacing w:after="240" w:line="480" w:lineRule="auto"/>
        <w:ind w:left="720" w:hanging="360"/>
      </w:pPr>
      <w:r w:rsidDel="00000000" w:rsidR="00000000" w:rsidRPr="00000000">
        <w:rPr>
          <w:rFonts w:ascii="Times New Roman" w:cs="Times New Roman" w:eastAsia="Times New Roman" w:hAnsi="Times New Roman"/>
          <w:b w:val="1"/>
          <w:sz w:val="24"/>
          <w:szCs w:val="24"/>
          <w:rtl w:val="0"/>
        </w:rPr>
        <w:t xml:space="preserve">Estimated Cost:</w:t>
      </w:r>
      <w:r w:rsidDel="00000000" w:rsidR="00000000" w:rsidRPr="00000000">
        <w:rPr>
          <w:rFonts w:ascii="Times New Roman" w:cs="Times New Roman" w:eastAsia="Times New Roman" w:hAnsi="Times New Roman"/>
          <w:sz w:val="24"/>
          <w:szCs w:val="24"/>
          <w:rtl w:val="0"/>
        </w:rPr>
        <w:t xml:space="preserve"> $1,000 to $2,000 per workshop, including registration and materials.</w:t>
      </w:r>
    </w:p>
    <w:p w:rsidR="00000000" w:rsidDel="00000000" w:rsidP="00000000" w:rsidRDefault="00000000" w:rsidRPr="00000000" w14:paraId="0000008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and Resources:</w:t>
      </w:r>
    </w:p>
    <w:p w:rsidR="00000000" w:rsidDel="00000000" w:rsidP="00000000" w:rsidRDefault="00000000" w:rsidRPr="00000000" w14:paraId="0000008B">
      <w:pPr>
        <w:numPr>
          <w:ilvl w:val="0"/>
          <w:numId w:val="4"/>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Includes items like instructional handouts and reflection journals.</w:t>
      </w:r>
    </w:p>
    <w:p w:rsidR="00000000" w:rsidDel="00000000" w:rsidP="00000000" w:rsidRDefault="00000000" w:rsidRPr="00000000" w14:paraId="0000008C">
      <w:pPr>
        <w:numPr>
          <w:ilvl w:val="0"/>
          <w:numId w:val="4"/>
        </w:numPr>
        <w:spacing w:after="240" w:line="480" w:lineRule="auto"/>
        <w:ind w:left="720" w:hanging="360"/>
      </w:pPr>
      <w:r w:rsidDel="00000000" w:rsidR="00000000" w:rsidRPr="00000000">
        <w:rPr>
          <w:rFonts w:ascii="Times New Roman" w:cs="Times New Roman" w:eastAsia="Times New Roman" w:hAnsi="Times New Roman"/>
          <w:b w:val="1"/>
          <w:sz w:val="24"/>
          <w:szCs w:val="24"/>
          <w:rtl w:val="0"/>
        </w:rPr>
        <w:t xml:space="preserve">Estimated Cost:</w:t>
      </w:r>
      <w:r w:rsidDel="00000000" w:rsidR="00000000" w:rsidRPr="00000000">
        <w:rPr>
          <w:rFonts w:ascii="Times New Roman" w:cs="Times New Roman" w:eastAsia="Times New Roman" w:hAnsi="Times New Roman"/>
          <w:sz w:val="24"/>
          <w:szCs w:val="24"/>
          <w:rtl w:val="0"/>
        </w:rPr>
        <w:t xml:space="preserve"> $200 to $500 for all necessary materials.</w:t>
      </w:r>
    </w:p>
    <w:p w:rsidR="00000000" w:rsidDel="00000000" w:rsidP="00000000" w:rsidRDefault="00000000" w:rsidRPr="00000000" w14:paraId="0000008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Peer Observation Costs:</w:t>
      </w:r>
    </w:p>
    <w:p w:rsidR="00000000" w:rsidDel="00000000" w:rsidP="00000000" w:rsidRDefault="00000000" w:rsidRPr="00000000" w14:paraId="0000008F">
      <w:pPr>
        <w:numPr>
          <w:ilvl w:val="0"/>
          <w:numId w:val="6"/>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Substitute teachers may be needed while mentors or new teachers observe others.</w:t>
      </w:r>
    </w:p>
    <w:p w:rsidR="00000000" w:rsidDel="00000000" w:rsidP="00000000" w:rsidRDefault="00000000" w:rsidRPr="00000000" w14:paraId="00000090">
      <w:pPr>
        <w:numPr>
          <w:ilvl w:val="0"/>
          <w:numId w:val="6"/>
        </w:numPr>
        <w:spacing w:after="240" w:line="480" w:lineRule="auto"/>
        <w:ind w:left="720" w:hanging="360"/>
      </w:pPr>
      <w:r w:rsidDel="00000000" w:rsidR="00000000" w:rsidRPr="00000000">
        <w:rPr>
          <w:rFonts w:ascii="Times New Roman" w:cs="Times New Roman" w:eastAsia="Times New Roman" w:hAnsi="Times New Roman"/>
          <w:b w:val="1"/>
          <w:sz w:val="24"/>
          <w:szCs w:val="24"/>
          <w:rtl w:val="0"/>
        </w:rPr>
        <w:t xml:space="preserve">Estimated Cost:</w:t>
      </w:r>
      <w:r w:rsidDel="00000000" w:rsidR="00000000" w:rsidRPr="00000000">
        <w:rPr>
          <w:rFonts w:ascii="Times New Roman" w:cs="Times New Roman" w:eastAsia="Times New Roman" w:hAnsi="Times New Roman"/>
          <w:sz w:val="24"/>
          <w:szCs w:val="24"/>
          <w:rtl w:val="0"/>
        </w:rPr>
        <w:t xml:space="preserve"> $100 to $150 per day for substitutes.</w:t>
      </w:r>
    </w:p>
    <w:p w:rsidR="00000000" w:rsidDel="00000000" w:rsidP="00000000" w:rsidRDefault="00000000" w:rsidRPr="00000000" w14:paraId="0000009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 and Software:</w:t>
      </w:r>
    </w:p>
    <w:p w:rsidR="00000000" w:rsidDel="00000000" w:rsidP="00000000" w:rsidRDefault="00000000" w:rsidRPr="00000000" w14:paraId="00000092">
      <w:pPr>
        <w:numPr>
          <w:ilvl w:val="0"/>
          <w:numId w:val="5"/>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Costs for software or tools used in planning and communication.</w:t>
      </w:r>
    </w:p>
    <w:p w:rsidR="00000000" w:rsidDel="00000000" w:rsidP="00000000" w:rsidRDefault="00000000" w:rsidRPr="00000000" w14:paraId="00000093">
      <w:pPr>
        <w:numPr>
          <w:ilvl w:val="0"/>
          <w:numId w:val="5"/>
        </w:numPr>
        <w:spacing w:after="240" w:line="480" w:lineRule="auto"/>
        <w:ind w:left="720" w:hanging="360"/>
      </w:pPr>
      <w:r w:rsidDel="00000000" w:rsidR="00000000" w:rsidRPr="00000000">
        <w:rPr>
          <w:rFonts w:ascii="Times New Roman" w:cs="Times New Roman" w:eastAsia="Times New Roman" w:hAnsi="Times New Roman"/>
          <w:b w:val="1"/>
          <w:sz w:val="24"/>
          <w:szCs w:val="24"/>
          <w:rtl w:val="0"/>
        </w:rPr>
        <w:t xml:space="preserve">Estimated Cost:</w:t>
      </w:r>
      <w:r w:rsidDel="00000000" w:rsidR="00000000" w:rsidRPr="00000000">
        <w:rPr>
          <w:rFonts w:ascii="Times New Roman" w:cs="Times New Roman" w:eastAsia="Times New Roman" w:hAnsi="Times New Roman"/>
          <w:sz w:val="24"/>
          <w:szCs w:val="24"/>
          <w:rtl w:val="0"/>
        </w:rPr>
        <w:t xml:space="preserve"> $200 to $1,000 for licenses or subscriptions.</w:t>
      </w:r>
    </w:p>
    <w:p w:rsidR="00000000" w:rsidDel="00000000" w:rsidP="00000000" w:rsidRDefault="00000000" w:rsidRPr="00000000" w14:paraId="000000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budget for the mentoring plan could range from $2,500 to $5,000. This will cover stipends, professional development, materials, substitute teachers, and technology. Proper funding will help ensure the success of the mentoring program.</w:t>
      </w:r>
    </w:p>
    <w:p w:rsidR="00000000" w:rsidDel="00000000" w:rsidP="00000000" w:rsidRDefault="00000000" w:rsidRPr="00000000" w14:paraId="0000009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Servant Leadership</w:t>
      </w:r>
    </w:p>
    <w:p w:rsidR="00000000" w:rsidDel="00000000" w:rsidP="00000000" w:rsidRDefault="00000000" w:rsidRPr="00000000" w14:paraId="000000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As a principal, I will exemplify servant leadership by actively supporting both mentors and new teachers throughout the mentoring process. This includes:</w:t>
      </w:r>
    </w:p>
    <w:p w:rsidR="00000000" w:rsidDel="00000000" w:rsidP="00000000" w:rsidRDefault="00000000" w:rsidRPr="00000000" w14:paraId="00000097">
      <w:pPr>
        <w:numPr>
          <w:ilvl w:val="0"/>
          <w:numId w:val="2"/>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Providing Resources:</w:t>
      </w:r>
      <w:r w:rsidDel="00000000" w:rsidR="00000000" w:rsidRPr="00000000">
        <w:rPr>
          <w:rFonts w:ascii="Times New Roman" w:cs="Times New Roman" w:eastAsia="Times New Roman" w:hAnsi="Times New Roman"/>
          <w:sz w:val="24"/>
          <w:szCs w:val="24"/>
          <w:rtl w:val="0"/>
        </w:rPr>
        <w:t xml:space="preserve"> Ensuring that both mentors and new teachers have access to the necessary materials and professional development opportunities (Greenleaf, 1977).</w:t>
      </w:r>
    </w:p>
    <w:p w:rsidR="00000000" w:rsidDel="00000000" w:rsidP="00000000" w:rsidRDefault="00000000" w:rsidRPr="00000000" w14:paraId="00000098">
      <w:pPr>
        <w:numPr>
          <w:ilvl w:val="0"/>
          <w:numId w:val="2"/>
        </w:numPr>
        <w:spacing w:after="0" w:afterAutospacing="0" w:line="480" w:lineRule="auto"/>
        <w:ind w:left="720" w:hanging="360"/>
      </w:pPr>
      <w:r w:rsidDel="00000000" w:rsidR="00000000" w:rsidRPr="00000000">
        <w:rPr>
          <w:rFonts w:ascii="Times New Roman" w:cs="Times New Roman" w:eastAsia="Times New Roman" w:hAnsi="Times New Roman"/>
          <w:b w:val="1"/>
          <w:sz w:val="24"/>
          <w:szCs w:val="24"/>
          <w:rtl w:val="0"/>
        </w:rPr>
        <w:t xml:space="preserve">Listening and Responding:</w:t>
      </w:r>
      <w:r w:rsidDel="00000000" w:rsidR="00000000" w:rsidRPr="00000000">
        <w:rPr>
          <w:rFonts w:ascii="Times New Roman" w:cs="Times New Roman" w:eastAsia="Times New Roman" w:hAnsi="Times New Roman"/>
          <w:sz w:val="24"/>
          <w:szCs w:val="24"/>
          <w:rtl w:val="0"/>
        </w:rPr>
        <w:t xml:space="preserve"> Being available to address concerns and provide guidance as needed, ensuring that teachers feel supported and valued.</w:t>
      </w:r>
    </w:p>
    <w:p w:rsidR="00000000" w:rsidDel="00000000" w:rsidP="00000000" w:rsidRDefault="00000000" w:rsidRPr="00000000" w14:paraId="00000099">
      <w:pPr>
        <w:numPr>
          <w:ilvl w:val="0"/>
          <w:numId w:val="2"/>
        </w:numPr>
        <w:spacing w:after="240" w:line="480" w:lineRule="auto"/>
        <w:ind w:left="720" w:hanging="360"/>
      </w:pPr>
      <w:r w:rsidDel="00000000" w:rsidR="00000000" w:rsidRPr="00000000">
        <w:rPr>
          <w:rFonts w:ascii="Times New Roman" w:cs="Times New Roman" w:eastAsia="Times New Roman" w:hAnsi="Times New Roman"/>
          <w:b w:val="1"/>
          <w:sz w:val="24"/>
          <w:szCs w:val="24"/>
          <w:rtl w:val="0"/>
        </w:rPr>
        <w:t xml:space="preserve">Fostering a Collaborative Environment:</w:t>
      </w:r>
      <w:r w:rsidDel="00000000" w:rsidR="00000000" w:rsidRPr="00000000">
        <w:rPr>
          <w:rFonts w:ascii="Times New Roman" w:cs="Times New Roman" w:eastAsia="Times New Roman" w:hAnsi="Times New Roman"/>
          <w:sz w:val="24"/>
          <w:szCs w:val="24"/>
          <w:rtl w:val="0"/>
        </w:rPr>
        <w:t xml:space="preserve"> Encouraging open communication and collaboration among all staff members to enhance the overall school community and promote a culture of shared learning and high expectations.</w:t>
      </w:r>
    </w:p>
    <w:p w:rsidR="00000000" w:rsidDel="00000000" w:rsidP="00000000" w:rsidRDefault="00000000" w:rsidRPr="00000000" w14:paraId="0000009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supporting and empowering both mentors and new teachers, I aim to create a positive and effective learning environment that benefits students and enriches the entire school community.</w:t>
      </w:r>
    </w:p>
    <w:p w:rsidR="00000000" w:rsidDel="00000000" w:rsidP="00000000" w:rsidRDefault="00000000" w:rsidRPr="00000000" w14:paraId="000000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E">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0">
      <w:pPr>
        <w:spacing w:line="480" w:lineRule="auto"/>
        <w:rPr/>
      </w:pPr>
      <w:r w:rsidDel="00000000" w:rsidR="00000000" w:rsidRPr="00000000">
        <w:rPr>
          <w:rtl w:val="0"/>
        </w:rPr>
        <w:t xml:space="preserve"> </w:t>
      </w:r>
    </w:p>
    <w:p w:rsidR="00000000" w:rsidDel="00000000" w:rsidP="00000000" w:rsidRDefault="00000000" w:rsidRPr="00000000" w14:paraId="000000A1">
      <w:pPr>
        <w:spacing w:line="480" w:lineRule="auto"/>
        <w:rPr/>
      </w:pPr>
      <w:r w:rsidDel="00000000" w:rsidR="00000000" w:rsidRPr="00000000">
        <w:rPr>
          <w:rtl w:val="0"/>
        </w:rPr>
      </w:r>
    </w:p>
    <w:p w:rsidR="00000000" w:rsidDel="00000000" w:rsidP="00000000" w:rsidRDefault="00000000" w:rsidRPr="00000000" w14:paraId="000000A2">
      <w:pPr>
        <w:spacing w:line="480" w:lineRule="auto"/>
        <w:rPr/>
      </w:pPr>
      <w:r w:rsidDel="00000000" w:rsidR="00000000" w:rsidRPr="00000000">
        <w:rPr>
          <w:rtl w:val="0"/>
        </w:rPr>
      </w:r>
    </w:p>
    <w:p w:rsidR="00000000" w:rsidDel="00000000" w:rsidP="00000000" w:rsidRDefault="00000000" w:rsidRPr="00000000" w14:paraId="000000A3">
      <w:pPr>
        <w:spacing w:line="480" w:lineRule="auto"/>
        <w:rPr/>
      </w:pPr>
      <w:r w:rsidDel="00000000" w:rsidR="00000000" w:rsidRPr="00000000">
        <w:rPr>
          <w:rtl w:val="0"/>
        </w:rPr>
      </w:r>
    </w:p>
    <w:p w:rsidR="00000000" w:rsidDel="00000000" w:rsidP="00000000" w:rsidRDefault="00000000" w:rsidRPr="00000000" w14:paraId="000000A4">
      <w:pPr>
        <w:spacing w:line="480" w:lineRule="auto"/>
        <w:rPr/>
      </w:pPr>
      <w:r w:rsidDel="00000000" w:rsidR="00000000" w:rsidRPr="00000000">
        <w:rPr>
          <w:rtl w:val="0"/>
        </w:rPr>
      </w:r>
    </w:p>
    <w:p w:rsidR="00000000" w:rsidDel="00000000" w:rsidP="00000000" w:rsidRDefault="00000000" w:rsidRPr="00000000" w14:paraId="000000A5">
      <w:pPr>
        <w:spacing w:line="480" w:lineRule="auto"/>
        <w:rPr/>
      </w:pPr>
      <w:r w:rsidDel="00000000" w:rsidR="00000000" w:rsidRPr="00000000">
        <w:rPr>
          <w:rtl w:val="0"/>
        </w:rPr>
      </w:r>
    </w:p>
    <w:p w:rsidR="00000000" w:rsidDel="00000000" w:rsidP="00000000" w:rsidRDefault="00000000" w:rsidRPr="00000000" w14:paraId="000000A6">
      <w:pPr>
        <w:spacing w:line="480" w:lineRule="auto"/>
        <w:rPr/>
      </w:pPr>
      <w:r w:rsidDel="00000000" w:rsidR="00000000" w:rsidRPr="00000000">
        <w:rPr>
          <w:rtl w:val="0"/>
        </w:rPr>
      </w:r>
    </w:p>
    <w:p w:rsidR="00000000" w:rsidDel="00000000" w:rsidP="00000000" w:rsidRDefault="00000000" w:rsidRPr="00000000" w14:paraId="000000A7">
      <w:pPr>
        <w:spacing w:line="480" w:lineRule="auto"/>
        <w:rPr/>
      </w:pPr>
      <w:r w:rsidDel="00000000" w:rsidR="00000000" w:rsidRPr="00000000">
        <w:rPr>
          <w:rtl w:val="0"/>
        </w:rPr>
      </w:r>
    </w:p>
    <w:p w:rsidR="00000000" w:rsidDel="00000000" w:rsidP="00000000" w:rsidRDefault="00000000" w:rsidRPr="00000000" w14:paraId="000000A8">
      <w:pPr>
        <w:spacing w:line="480" w:lineRule="auto"/>
        <w:rPr/>
      </w:pPr>
      <w:r w:rsidDel="00000000" w:rsidR="00000000" w:rsidRPr="00000000">
        <w:rPr>
          <w:rtl w:val="0"/>
        </w:rPr>
      </w:r>
    </w:p>
    <w:p w:rsidR="00000000" w:rsidDel="00000000" w:rsidP="00000000" w:rsidRDefault="00000000" w:rsidRPr="00000000" w14:paraId="000000A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AA">
      <w:pPr>
        <w:spacing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Feiman-Nemser, S. (2001). </w:t>
      </w:r>
      <w:r w:rsidDel="00000000" w:rsidR="00000000" w:rsidRPr="00000000">
        <w:rPr>
          <w:rFonts w:ascii="Times New Roman" w:cs="Times New Roman" w:eastAsia="Times New Roman" w:hAnsi="Times New Roman"/>
          <w:sz w:val="24"/>
          <w:szCs w:val="24"/>
          <w:rtl w:val="0"/>
        </w:rPr>
        <w:t xml:space="preserve">From preparation to practice: Designing a continuum to strengthen and sustain teaching. </w:t>
      </w:r>
      <w:r w:rsidDel="00000000" w:rsidR="00000000" w:rsidRPr="00000000">
        <w:rPr>
          <w:rFonts w:ascii="Times New Roman" w:cs="Times New Roman" w:eastAsia="Times New Roman" w:hAnsi="Times New Roman"/>
          <w:i w:val="1"/>
          <w:sz w:val="24"/>
          <w:szCs w:val="24"/>
          <w:rtl w:val="0"/>
        </w:rPr>
        <w:t xml:space="preserve">Teachers College Record, 103</w:t>
      </w:r>
      <w:r w:rsidDel="00000000" w:rsidR="00000000" w:rsidRPr="00000000">
        <w:rPr>
          <w:rFonts w:ascii="Times New Roman" w:cs="Times New Roman" w:eastAsia="Times New Roman" w:hAnsi="Times New Roman"/>
          <w:sz w:val="24"/>
          <w:szCs w:val="24"/>
          <w:rtl w:val="0"/>
        </w:rPr>
        <w:t xml:space="preserve">(6), 1013-1055.</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https://doi.org/10.1111/0161-4681.00141</w:t>
        </w:r>
      </w:hyperlink>
      <w:r w:rsidDel="00000000" w:rsidR="00000000" w:rsidRPr="00000000">
        <w:rPr>
          <w:rtl w:val="0"/>
        </w:rPr>
      </w:r>
    </w:p>
    <w:p w:rsidR="00000000" w:rsidDel="00000000" w:rsidP="00000000" w:rsidRDefault="00000000" w:rsidRPr="00000000" w14:paraId="000000A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Greenleaf, R. K. (1977). </w:t>
      </w:r>
      <w:r w:rsidDel="00000000" w:rsidR="00000000" w:rsidRPr="00000000">
        <w:rPr>
          <w:rFonts w:ascii="Times New Roman" w:cs="Times New Roman" w:eastAsia="Times New Roman" w:hAnsi="Times New Roman"/>
          <w:i w:val="1"/>
          <w:sz w:val="24"/>
          <w:szCs w:val="24"/>
          <w:rtl w:val="0"/>
        </w:rPr>
        <w:t xml:space="preserve">Servant leadership: A journey into the nature of legitimate power and greatness</w:t>
      </w:r>
      <w:r w:rsidDel="00000000" w:rsidR="00000000" w:rsidRPr="00000000">
        <w:rPr>
          <w:rFonts w:ascii="Times New Roman" w:cs="Times New Roman" w:eastAsia="Times New Roman" w:hAnsi="Times New Roman"/>
          <w:sz w:val="24"/>
          <w:szCs w:val="24"/>
          <w:rtl w:val="0"/>
        </w:rPr>
        <w:t xml:space="preserve">. Paulist Press.</w:t>
      </w:r>
    </w:p>
    <w:p w:rsidR="00000000" w:rsidDel="00000000" w:rsidP="00000000" w:rsidRDefault="00000000" w:rsidRPr="00000000" w14:paraId="000000A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Hattie, J. (2009). </w:t>
      </w:r>
      <w:r w:rsidDel="00000000" w:rsidR="00000000" w:rsidRPr="00000000">
        <w:rPr>
          <w:rFonts w:ascii="Times New Roman" w:cs="Times New Roman" w:eastAsia="Times New Roman" w:hAnsi="Times New Roman"/>
          <w:i w:val="1"/>
          <w:sz w:val="24"/>
          <w:szCs w:val="24"/>
          <w:rtl w:val="0"/>
        </w:rPr>
        <w:t xml:space="preserve">Visible learning: A synthesis of over 800 meta-analyses relating to achievement</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A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0">
      <w:pPr>
        <w:spacing w:line="48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Ingersoll, R. M., &amp; Strong, M. (2011). </w:t>
      </w:r>
      <w:r w:rsidDel="00000000" w:rsidR="00000000" w:rsidRPr="00000000">
        <w:rPr>
          <w:rFonts w:ascii="Times New Roman" w:cs="Times New Roman" w:eastAsia="Times New Roman" w:hAnsi="Times New Roman"/>
          <w:sz w:val="24"/>
          <w:szCs w:val="24"/>
          <w:rtl w:val="0"/>
        </w:rPr>
        <w:t xml:space="preserve">The impact of induction and mentoring programs for beginning teachers: A critical review of the research. </w:t>
      </w:r>
      <w:r w:rsidDel="00000000" w:rsidR="00000000" w:rsidRPr="00000000">
        <w:rPr>
          <w:rFonts w:ascii="Times New Roman" w:cs="Times New Roman" w:eastAsia="Times New Roman" w:hAnsi="Times New Roman"/>
          <w:i w:val="1"/>
          <w:sz w:val="24"/>
          <w:szCs w:val="24"/>
          <w:rtl w:val="0"/>
        </w:rPr>
        <w:t xml:space="preserve">Review of Educational Research, 81</w:t>
      </w:r>
      <w:r w:rsidDel="00000000" w:rsidR="00000000" w:rsidRPr="00000000">
        <w:rPr>
          <w:rFonts w:ascii="Times New Roman" w:cs="Times New Roman" w:eastAsia="Times New Roman" w:hAnsi="Times New Roman"/>
          <w:sz w:val="24"/>
          <w:szCs w:val="24"/>
          <w:rtl w:val="0"/>
        </w:rPr>
        <w:t xml:space="preserve">(2), 201-233.</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https://doi.org/10.3102/0034654311403323</w:t>
        </w:r>
      </w:hyperlink>
      <w:r w:rsidDel="00000000" w:rsidR="00000000" w:rsidRPr="00000000">
        <w:rPr>
          <w:rtl w:val="0"/>
        </w:rPr>
      </w:r>
    </w:p>
    <w:p w:rsidR="00000000" w:rsidDel="00000000" w:rsidP="00000000" w:rsidRDefault="00000000" w:rsidRPr="00000000" w14:paraId="000000B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102/0034654311403323" TargetMode="External"/><Relationship Id="rId5" Type="http://schemas.openxmlformats.org/officeDocument/2006/relationships/styles" Target="styles.xml"/><Relationship Id="rId6" Type="http://schemas.openxmlformats.org/officeDocument/2006/relationships/hyperlink" Target="https://doi.org/10.1111/0161-4681.00141" TargetMode="External"/><Relationship Id="rId7" Type="http://schemas.openxmlformats.org/officeDocument/2006/relationships/hyperlink" Target="https://doi.org/10.1111/0161-4681.00141" TargetMode="External"/><Relationship Id="rId8" Type="http://schemas.openxmlformats.org/officeDocument/2006/relationships/hyperlink" Target="https://doi.org/10.3102/0034654311403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